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87557B">
      <w:pPr>
        <w:widowControl w:val="0"/>
        <w:autoSpaceDE w:val="0"/>
        <w:autoSpaceDN w:val="0"/>
        <w:spacing w:after="0" w:line="240" w:lineRule="auto"/>
        <w:jc w:val="center"/>
        <w:rPr>
          <w:rFonts w:ascii="Arial" w:hAnsi="Arial" w:eastAsia="Times New Roman" w:cs="Arial"/>
          <w:b/>
          <w:kern w:val="0"/>
          <w:sz w:val="24"/>
          <w:szCs w:val="20"/>
          <w:lang w:eastAsia="ru-RU"/>
          <w14:ligatures w14:val="none"/>
        </w:rPr>
      </w:pPr>
      <w:r>
        <w:drawing>
          <wp:anchor distT="0" distB="0" distL="114935" distR="114935" simplePos="0" relativeHeight="251659264" behindDoc="0" locked="0" layoutInCell="1" allowOverlap="1">
            <wp:simplePos x="0" y="0"/>
            <wp:positionH relativeFrom="column">
              <wp:posOffset>2742565</wp:posOffset>
            </wp:positionH>
            <wp:positionV relativeFrom="paragraph">
              <wp:posOffset>-287655</wp:posOffset>
            </wp:positionV>
            <wp:extent cx="512445" cy="1000760"/>
            <wp:effectExtent l="0" t="0" r="1905" b="8890"/>
            <wp:wrapSquare wrapText="right"/>
            <wp:docPr id="1"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2"/>
                    <pic:cNvPicPr>
                      <a:picLocks noChangeAspect="1"/>
                    </pic:cNvPicPr>
                  </pic:nvPicPr>
                  <pic:blipFill>
                    <a:blip r:embed="rId6"/>
                    <a:stretch>
                      <a:fillRect/>
                    </a:stretch>
                  </pic:blipFill>
                  <pic:spPr>
                    <a:xfrm>
                      <a:off x="0" y="0"/>
                      <a:ext cx="512445" cy="1000760"/>
                    </a:xfrm>
                    <a:prstGeom prst="rect">
                      <a:avLst/>
                    </a:prstGeom>
                    <a:solidFill>
                      <a:srgbClr val="FFFFFF"/>
                    </a:solidFill>
                    <a:ln>
                      <a:noFill/>
                    </a:ln>
                  </pic:spPr>
                </pic:pic>
              </a:graphicData>
            </a:graphic>
          </wp:anchor>
        </w:drawing>
      </w:r>
    </w:p>
    <w:p w14:paraId="5CDD59E4">
      <w:pPr>
        <w:pStyle w:val="33"/>
        <w:jc w:val="center"/>
        <w:rPr>
          <w:rFonts w:ascii="Times New Roman" w:hAnsi="Times New Roman" w:cs="Times New Roman"/>
          <w:b/>
          <w:sz w:val="28"/>
          <w:szCs w:val="28"/>
          <w:lang w:val="en-US"/>
        </w:rPr>
      </w:pPr>
    </w:p>
    <w:p w14:paraId="7075173A">
      <w:pPr>
        <w:pStyle w:val="33"/>
        <w:jc w:val="center"/>
        <w:rPr>
          <w:rFonts w:ascii="Times New Roman" w:hAnsi="Times New Roman" w:cs="Times New Roman"/>
          <w:b/>
          <w:sz w:val="28"/>
          <w:szCs w:val="28"/>
          <w:lang w:val="en-US"/>
        </w:rPr>
      </w:pPr>
    </w:p>
    <w:p w14:paraId="38844437">
      <w:pPr>
        <w:widowControl w:val="0"/>
        <w:rPr>
          <w:rFonts w:ascii="Arial" w:hAnsi="Arial" w:cs="Arial"/>
          <w:b/>
          <w:sz w:val="24"/>
          <w:szCs w:val="24"/>
        </w:rPr>
      </w:pPr>
      <w:r>
        <w:rPr>
          <w:rFonts w:ascii="Arial" w:hAnsi="Arial" w:cs="Arial"/>
          <w:sz w:val="24"/>
          <w:szCs w:val="24"/>
        </w:rPr>
        <w:t xml:space="preserve"> </w:t>
      </w:r>
    </w:p>
    <w:p w14:paraId="399D6C9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24"/>
          <w:szCs w:val="24"/>
        </w:rPr>
      </w:pPr>
      <w:r>
        <w:rPr>
          <w:rFonts w:hint="default" w:ascii="Arial" w:hAnsi="Arial" w:cs="Arial"/>
          <w:b/>
          <w:sz w:val="24"/>
          <w:szCs w:val="24"/>
        </w:rPr>
        <w:t xml:space="preserve"> </w:t>
      </w:r>
      <w:r>
        <w:rPr>
          <w:rFonts w:hint="default" w:ascii="Arial" w:hAnsi="Arial" w:cs="Arial"/>
          <w:sz w:val="24"/>
          <w:szCs w:val="24"/>
        </w:rPr>
        <w:pict>
          <v:shape id="_x0000_i1025" o:spt="136" type="#_x0000_t136" style="height:18.75pt;width:423.8pt;" fillcolor="#FFFFFF" filled="t" stroked="t" coordsize="21600,21600" adj="10800">
            <v:path/>
            <v:fill on="t" focussize="0,0"/>
            <v:stroke weight="0.737007874015748pt" joinstyle="miter" endcap="square"/>
            <v:imagedata o:title=""/>
            <o:lock v:ext="edit"/>
            <v:textpath on="t" fitshape="t" fitpath="t" trim="f" xscale="f" string="АДМИНИСТРАЦИИ ВЕРТЯЧИНСКОГО СЕЛЬСКОГО ПОСЕЛЕНИЯ" style="font-family:Arial;font-size:18pt;v-rotate-letters:f;v-same-letter-heights:f;v-text-align:center;"/>
            <w10:wrap type="none"/>
            <w10:anchorlock/>
          </v:shape>
        </w:pict>
      </w:r>
    </w:p>
    <w:p w14:paraId="6FA2FD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b/>
          <w:sz w:val="24"/>
          <w:szCs w:val="24"/>
        </w:rPr>
      </w:pPr>
      <w:r>
        <w:rPr>
          <w:rFonts w:hint="default" w:ascii="Arial" w:hAnsi="Arial" w:cs="Arial"/>
          <w:sz w:val="24"/>
          <w:szCs w:val="24"/>
        </w:rPr>
        <w:t xml:space="preserve">ГОРОДИЩЕНСКОГО МУНИЦИПАЛЬНОГО РАЙОНА    </w:t>
      </w:r>
    </w:p>
    <w:p w14:paraId="7BFB95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sz w:val="24"/>
          <w:szCs w:val="24"/>
        </w:rPr>
      </w:pPr>
      <w:r>
        <w:rPr>
          <w:rFonts w:hint="default" w:ascii="Arial" w:hAnsi="Arial" w:cs="Arial"/>
          <w:b/>
          <w:sz w:val="24"/>
          <w:szCs w:val="24"/>
        </w:rPr>
        <w:t>ВОЛГОГРАДСКОЙ ОБЛАСТИ</w:t>
      </w:r>
    </w:p>
    <w:p w14:paraId="608BFE2D">
      <w:pPr>
        <w:widowControl w:val="0"/>
        <w:autoSpaceDE w:val="0"/>
        <w:autoSpaceDN w:val="0"/>
        <w:spacing w:after="0" w:line="240" w:lineRule="auto"/>
        <w:jc w:val="center"/>
        <w:rPr>
          <w:rFonts w:hint="default" w:ascii="Arial" w:hAnsi="Arial" w:eastAsia="Times New Roman" w:cs="Arial"/>
          <w:b/>
          <w:kern w:val="0"/>
          <w:sz w:val="24"/>
          <w:szCs w:val="24"/>
          <w:lang w:eastAsia="ru-RU"/>
          <w14:ligatures w14:val="none"/>
        </w:rPr>
      </w:pPr>
    </w:p>
    <w:p w14:paraId="4BE36919">
      <w:pPr>
        <w:widowControl w:val="0"/>
        <w:autoSpaceDE w:val="0"/>
        <w:spacing w:after="0" w:line="240" w:lineRule="auto"/>
        <w:jc w:val="center"/>
        <w:rPr>
          <w:rFonts w:hint="default" w:ascii="Arial" w:hAnsi="Arial" w:eastAsia="Times New Roman" w:cs="Arial"/>
          <w:b/>
          <w:bCs/>
          <w:kern w:val="0"/>
          <w:sz w:val="24"/>
          <w:szCs w:val="24"/>
          <w:lang w:eastAsia="ru-RU"/>
          <w14:ligatures w14:val="none"/>
        </w:rPr>
      </w:pPr>
      <w:r>
        <w:rPr>
          <w:rFonts w:hint="default" w:ascii="Arial" w:hAnsi="Arial" w:eastAsia="Times New Roman" w:cs="Arial"/>
          <w:b/>
          <w:bCs/>
          <w:kern w:val="0"/>
          <w:sz w:val="24"/>
          <w:szCs w:val="24"/>
          <w:lang w:eastAsia="ru-RU"/>
          <w14:ligatures w14:val="none"/>
        </w:rPr>
        <w:t>ПОСТАНОВЛЕНИЕ</w:t>
      </w:r>
    </w:p>
    <w:p w14:paraId="6E43C530">
      <w:pPr>
        <w:widowControl w:val="0"/>
        <w:autoSpaceDE w:val="0"/>
        <w:spacing w:after="0" w:line="240" w:lineRule="auto"/>
        <w:rPr>
          <w:rFonts w:hint="default" w:ascii="Arial" w:hAnsi="Arial" w:eastAsia="Times New Roman" w:cs="Arial"/>
          <w:kern w:val="0"/>
          <w:sz w:val="24"/>
          <w:szCs w:val="24"/>
          <w:lang w:eastAsia="ru-RU"/>
          <w14:ligatures w14:val="none"/>
        </w:rPr>
      </w:pPr>
    </w:p>
    <w:p w14:paraId="38F0ABDD">
      <w:pPr>
        <w:widowControl w:val="0"/>
        <w:autoSpaceDE w:val="0"/>
        <w:spacing w:after="0" w:line="240" w:lineRule="auto"/>
        <w:jc w:val="center"/>
        <w:rPr>
          <w:rFonts w:hint="default" w:ascii="Arial" w:hAnsi="Arial" w:eastAsia="Times New Roman" w:cs="Arial"/>
          <w:kern w:val="0"/>
          <w:sz w:val="24"/>
          <w:szCs w:val="24"/>
          <w:lang w:eastAsia="ru-RU"/>
          <w14:ligatures w14:val="none"/>
        </w:rPr>
      </w:pPr>
    </w:p>
    <w:p w14:paraId="03FE06A5">
      <w:pPr>
        <w:widowControl w:val="0"/>
        <w:suppressAutoHyphens/>
        <w:spacing w:after="0" w:line="240" w:lineRule="auto"/>
        <w:ind w:firstLine="240" w:firstLineChars="100"/>
        <w:rPr>
          <w:rFonts w:hint="default" w:ascii="Arial" w:hAnsi="Arial" w:eastAsia="Times New Roman" w:cs="Arial"/>
          <w:color w:val="000000"/>
          <w:spacing w:val="7"/>
          <w:kern w:val="0"/>
          <w:sz w:val="24"/>
          <w:szCs w:val="24"/>
          <w:lang w:val="ru-RU" w:eastAsia="ar-SA"/>
          <w14:ligatures w14:val="none"/>
        </w:rPr>
      </w:pPr>
      <w:r>
        <w:rPr>
          <w:rFonts w:hint="default" w:ascii="Arial" w:hAnsi="Arial" w:eastAsia="Times New Roman" w:cs="Arial"/>
          <w:kern w:val="0"/>
          <w:sz w:val="24"/>
          <w:szCs w:val="24"/>
          <w:lang w:eastAsia="ar-SA"/>
          <w14:ligatures w14:val="none"/>
        </w:rPr>
        <w:t xml:space="preserve">от </w:t>
      </w:r>
      <w:r>
        <w:rPr>
          <w:rFonts w:hint="default" w:ascii="Arial" w:hAnsi="Arial" w:eastAsia="Times New Roman" w:cs="Arial"/>
          <w:kern w:val="0"/>
          <w:sz w:val="24"/>
          <w:szCs w:val="24"/>
          <w:lang w:val="ru-RU" w:eastAsia="ar-SA"/>
          <w14:ligatures w14:val="none"/>
        </w:rPr>
        <w:t xml:space="preserve">«04» августа 2026 </w:t>
      </w:r>
      <w:r>
        <w:rPr>
          <w:rFonts w:hint="default" w:ascii="Arial" w:hAnsi="Arial" w:eastAsia="Times New Roman" w:cs="Arial"/>
          <w:kern w:val="0"/>
          <w:sz w:val="24"/>
          <w:szCs w:val="24"/>
          <w:lang w:eastAsia="ar-SA"/>
          <w14:ligatures w14:val="none"/>
        </w:rPr>
        <w:t>г.</w:t>
      </w:r>
      <w:r>
        <w:rPr>
          <w:rFonts w:hint="default" w:ascii="Arial" w:hAnsi="Arial" w:eastAsia="Times New Roman" w:cs="Arial"/>
          <w:kern w:val="0"/>
          <w:sz w:val="24"/>
          <w:szCs w:val="24"/>
          <w:lang w:val="ru-RU" w:eastAsia="ar-SA"/>
          <w14:ligatures w14:val="none"/>
        </w:rPr>
        <w:t xml:space="preserve">                                                                                </w:t>
      </w:r>
      <w:r>
        <w:rPr>
          <w:rFonts w:hint="default" w:ascii="Arial" w:hAnsi="Arial" w:eastAsia="Times New Roman" w:cs="Arial"/>
          <w:color w:val="000000"/>
          <w:spacing w:val="7"/>
          <w:kern w:val="0"/>
          <w:sz w:val="24"/>
          <w:szCs w:val="24"/>
          <w:lang w:eastAsia="ar-SA"/>
          <w14:ligatures w14:val="none"/>
        </w:rPr>
        <w:t xml:space="preserve"> </w:t>
      </w:r>
      <w:r>
        <w:rPr>
          <w:rFonts w:hint="default" w:ascii="Arial" w:hAnsi="Arial" w:eastAsia="Times New Roman" w:cs="Arial"/>
          <w:kern w:val="0"/>
          <w:sz w:val="24"/>
          <w:szCs w:val="24"/>
          <w:lang w:eastAsia="ar-SA"/>
          <w14:ligatures w14:val="none"/>
        </w:rPr>
        <w:t>№</w:t>
      </w:r>
      <w:r>
        <w:rPr>
          <w:rFonts w:hint="default" w:ascii="Arial" w:hAnsi="Arial" w:eastAsia="Times New Roman" w:cs="Arial"/>
          <w:color w:val="000000"/>
          <w:spacing w:val="7"/>
          <w:kern w:val="0"/>
          <w:sz w:val="24"/>
          <w:szCs w:val="24"/>
          <w:lang w:eastAsia="ar-SA"/>
          <w14:ligatures w14:val="none"/>
        </w:rPr>
        <w:t xml:space="preserve"> </w:t>
      </w:r>
      <w:r>
        <w:rPr>
          <w:rFonts w:hint="default" w:ascii="Arial" w:hAnsi="Arial" w:eastAsia="Times New Roman" w:cs="Arial"/>
          <w:color w:val="000000"/>
          <w:spacing w:val="7"/>
          <w:kern w:val="0"/>
          <w:sz w:val="24"/>
          <w:szCs w:val="24"/>
          <w:lang w:val="ru-RU" w:eastAsia="ar-SA"/>
          <w14:ligatures w14:val="none"/>
        </w:rPr>
        <w:t>47</w:t>
      </w:r>
    </w:p>
    <w:p w14:paraId="435194C0">
      <w:pPr>
        <w:widowControl w:val="0"/>
        <w:suppressAutoHyphens/>
        <w:spacing w:after="0" w:line="240" w:lineRule="auto"/>
        <w:rPr>
          <w:rFonts w:hint="default" w:ascii="Arial" w:hAnsi="Arial" w:eastAsia="Times New Roman" w:cs="Arial"/>
          <w:color w:val="000000"/>
          <w:spacing w:val="7"/>
          <w:kern w:val="0"/>
          <w:sz w:val="24"/>
          <w:szCs w:val="24"/>
          <w:lang w:eastAsia="ar-SA"/>
          <w14:ligatures w14:val="none"/>
        </w:rPr>
      </w:pPr>
      <w:bookmarkStart w:id="6" w:name="_GoBack"/>
      <w:bookmarkEnd w:id="6"/>
    </w:p>
    <w:p w14:paraId="2BC4550E">
      <w:pPr>
        <w:widowControl w:val="0"/>
        <w:suppressAutoHyphens/>
        <w:spacing w:after="0" w:line="240" w:lineRule="auto"/>
        <w:rPr>
          <w:rFonts w:hint="default" w:ascii="Arial" w:hAnsi="Arial" w:eastAsia="Times New Roman" w:cs="Arial"/>
          <w:color w:val="000000"/>
          <w:spacing w:val="7"/>
          <w:kern w:val="0"/>
          <w:sz w:val="24"/>
          <w:szCs w:val="24"/>
          <w:lang w:eastAsia="ar-SA"/>
          <w14:ligatures w14:val="none"/>
        </w:rPr>
      </w:pPr>
    </w:p>
    <w:p w14:paraId="16F4A765">
      <w:pPr>
        <w:tabs>
          <w:tab w:val="left" w:pos="1620"/>
        </w:tabs>
        <w:autoSpaceDE w:val="0"/>
        <w:autoSpaceDN w:val="0"/>
        <w:adjustRightInd w:val="0"/>
        <w:spacing w:after="0" w:line="240" w:lineRule="auto"/>
        <w:jc w:val="center"/>
        <w:rPr>
          <w:rFonts w:hint="default" w:ascii="Arial" w:hAnsi="Arial" w:eastAsia="Calibri" w:cs="Arial"/>
          <w:b/>
          <w:kern w:val="0"/>
          <w:sz w:val="24"/>
          <w:szCs w:val="24"/>
          <w:lang w:eastAsia="ar-SA"/>
          <w14:ligatures w14:val="none"/>
        </w:rPr>
      </w:pPr>
      <w:r>
        <w:rPr>
          <w:rFonts w:hint="default" w:ascii="Arial" w:hAnsi="Arial" w:eastAsia="Calibri" w:cs="Arial"/>
          <w:b/>
          <w:kern w:val="0"/>
          <w:sz w:val="24"/>
          <w:szCs w:val="24"/>
          <w:lang w:eastAsia="ar-SA"/>
          <w14:ligatures w14:val="none"/>
        </w:rPr>
        <w:t>Об утверждении Порядка отчуждения древесины, полученной</w:t>
      </w:r>
    </w:p>
    <w:p w14:paraId="42C67C4C">
      <w:pPr>
        <w:tabs>
          <w:tab w:val="left" w:pos="1620"/>
        </w:tabs>
        <w:autoSpaceDE w:val="0"/>
        <w:autoSpaceDN w:val="0"/>
        <w:adjustRightInd w:val="0"/>
        <w:spacing w:after="0" w:line="240" w:lineRule="auto"/>
        <w:jc w:val="center"/>
        <w:rPr>
          <w:rFonts w:hint="default" w:ascii="Arial" w:hAnsi="Arial" w:eastAsia="Calibri" w:cs="Arial"/>
          <w:b/>
          <w:kern w:val="0"/>
          <w:sz w:val="24"/>
          <w:szCs w:val="24"/>
          <w:lang w:eastAsia="ar-SA"/>
          <w14:ligatures w14:val="none"/>
        </w:rPr>
      </w:pPr>
      <w:r>
        <w:rPr>
          <w:rFonts w:hint="default" w:ascii="Arial" w:hAnsi="Arial" w:eastAsia="Calibri" w:cs="Arial"/>
          <w:b/>
          <w:kern w:val="0"/>
          <w:sz w:val="24"/>
          <w:szCs w:val="24"/>
          <w:lang w:eastAsia="ar-SA"/>
          <w14:ligatures w14:val="none"/>
        </w:rPr>
        <w:t>из срубленных, спиленных, срезанных стволов деревьев,</w:t>
      </w:r>
    </w:p>
    <w:p w14:paraId="539B48B3">
      <w:pPr>
        <w:tabs>
          <w:tab w:val="left" w:pos="1620"/>
        </w:tabs>
        <w:autoSpaceDE w:val="0"/>
        <w:autoSpaceDN w:val="0"/>
        <w:adjustRightInd w:val="0"/>
        <w:spacing w:after="0" w:line="240" w:lineRule="auto"/>
        <w:jc w:val="center"/>
        <w:rPr>
          <w:rFonts w:hint="default" w:ascii="Arial" w:hAnsi="Arial" w:eastAsia="Calibri" w:cs="Arial"/>
          <w:b/>
          <w:kern w:val="0"/>
          <w:sz w:val="24"/>
          <w:szCs w:val="24"/>
          <w:lang w:eastAsia="ar-SA"/>
          <w14:ligatures w14:val="none"/>
        </w:rPr>
      </w:pPr>
      <w:r>
        <w:rPr>
          <w:rFonts w:hint="default" w:ascii="Arial" w:hAnsi="Arial" w:eastAsia="Calibri" w:cs="Arial"/>
          <w:b/>
          <w:kern w:val="0"/>
          <w:sz w:val="24"/>
          <w:szCs w:val="24"/>
          <w:lang w:eastAsia="ar-SA"/>
          <w14:ligatures w14:val="none"/>
        </w:rPr>
        <w:t>произрастающих на земельных участках (их частях) или землях,</w:t>
      </w:r>
    </w:p>
    <w:p w14:paraId="6A455F48">
      <w:pPr>
        <w:tabs>
          <w:tab w:val="left" w:pos="1620"/>
        </w:tabs>
        <w:autoSpaceDE w:val="0"/>
        <w:autoSpaceDN w:val="0"/>
        <w:adjustRightInd w:val="0"/>
        <w:spacing w:after="0" w:line="240" w:lineRule="auto"/>
        <w:jc w:val="center"/>
        <w:rPr>
          <w:rFonts w:hint="default" w:ascii="Arial" w:hAnsi="Arial" w:eastAsia="Calibri" w:cs="Arial"/>
          <w:b/>
          <w:bCs/>
          <w:kern w:val="0"/>
          <w:sz w:val="24"/>
          <w:szCs w:val="24"/>
          <w:lang w:eastAsia="ru-RU"/>
          <w14:ligatures w14:val="none"/>
        </w:rPr>
      </w:pPr>
      <w:r>
        <w:rPr>
          <w:rFonts w:hint="default" w:ascii="Arial" w:hAnsi="Arial" w:eastAsia="Calibri" w:cs="Arial"/>
          <w:b/>
          <w:kern w:val="0"/>
          <w:sz w:val="24"/>
          <w:szCs w:val="24"/>
          <w:lang w:eastAsia="ar-SA"/>
          <w14:ligatures w14:val="none"/>
        </w:rPr>
        <w:t xml:space="preserve">находящихся в муниципальной собственности </w:t>
      </w:r>
      <w:r>
        <w:rPr>
          <w:rFonts w:hint="default" w:ascii="Arial" w:hAnsi="Arial" w:eastAsia="Calibri" w:cs="Arial"/>
          <w:b/>
          <w:bCs/>
          <w:kern w:val="0"/>
          <w:sz w:val="24"/>
          <w:szCs w:val="24"/>
          <w:lang w:eastAsia="ru-RU"/>
          <w14:ligatures w14:val="none"/>
        </w:rPr>
        <w:t xml:space="preserve">Вертячинского сельского поселения Городищенского муниципального района </w:t>
      </w:r>
    </w:p>
    <w:p w14:paraId="25FFC29E">
      <w:pPr>
        <w:tabs>
          <w:tab w:val="left" w:pos="1620"/>
        </w:tabs>
        <w:autoSpaceDE w:val="0"/>
        <w:autoSpaceDN w:val="0"/>
        <w:adjustRightInd w:val="0"/>
        <w:spacing w:after="0" w:line="240" w:lineRule="auto"/>
        <w:jc w:val="center"/>
        <w:rPr>
          <w:rFonts w:hint="default" w:ascii="Arial" w:hAnsi="Arial" w:eastAsia="Calibri" w:cs="Arial"/>
          <w:b/>
          <w:bCs/>
          <w:kern w:val="0"/>
          <w:sz w:val="24"/>
          <w:szCs w:val="24"/>
          <w:lang w:eastAsia="ru-RU"/>
          <w14:ligatures w14:val="none"/>
        </w:rPr>
      </w:pPr>
      <w:r>
        <w:rPr>
          <w:rFonts w:hint="default" w:ascii="Arial" w:hAnsi="Arial" w:eastAsia="Calibri" w:cs="Arial"/>
          <w:b/>
          <w:bCs/>
          <w:kern w:val="0"/>
          <w:sz w:val="24"/>
          <w:szCs w:val="24"/>
          <w:lang w:eastAsia="ru-RU"/>
          <w14:ligatures w14:val="none"/>
        </w:rPr>
        <w:t>Волгоградской области</w:t>
      </w:r>
    </w:p>
    <w:p w14:paraId="592CB644">
      <w:pPr>
        <w:tabs>
          <w:tab w:val="left" w:pos="1620"/>
        </w:tabs>
        <w:autoSpaceDE w:val="0"/>
        <w:autoSpaceDN w:val="0"/>
        <w:adjustRightInd w:val="0"/>
        <w:spacing w:after="0" w:line="240" w:lineRule="auto"/>
        <w:jc w:val="center"/>
        <w:rPr>
          <w:rFonts w:hint="default" w:ascii="Arial" w:hAnsi="Arial" w:eastAsia="Calibri" w:cs="Arial"/>
          <w:color w:val="FF0000"/>
          <w:kern w:val="0"/>
          <w:sz w:val="24"/>
          <w:szCs w:val="24"/>
          <w:lang w:eastAsia="ru-RU"/>
          <w14:ligatures w14:val="none"/>
        </w:rPr>
      </w:pPr>
    </w:p>
    <w:p w14:paraId="1415BE74">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 xml:space="preserve">В соответствии с </w:t>
      </w:r>
      <w:r>
        <w:rPr>
          <w:rFonts w:hint="default" w:ascii="Arial" w:hAnsi="Arial" w:cs="Arial"/>
          <w:sz w:val="24"/>
          <w:szCs w:val="24"/>
        </w:rPr>
        <w:fldChar w:fldCharType="begin"/>
      </w:r>
      <w:r>
        <w:rPr>
          <w:rFonts w:hint="default" w:ascii="Arial" w:hAnsi="Arial" w:cs="Arial"/>
          <w:sz w:val="24"/>
          <w:szCs w:val="24"/>
        </w:rPr>
        <w:instrText xml:space="preserve"> HYPERLINK "https://login.consultant.ru/link/?req=doc&amp;base=LAW&amp;n=538717&amp;date=30.07.2026&amp;dst=829&amp;field=134" \o "Федеральный закон от 21.12.2001 N 178-ФЗ (ред. от 04.07.2026) "О приватизации государственного и муниципального имущества" {КонсультантПлюс}" \h </w:instrText>
      </w:r>
      <w:r>
        <w:rPr>
          <w:rFonts w:hint="default" w:ascii="Arial" w:hAnsi="Arial" w:cs="Arial"/>
          <w:sz w:val="24"/>
          <w:szCs w:val="24"/>
        </w:rPr>
        <w:fldChar w:fldCharType="separate"/>
      </w:r>
      <w:r>
        <w:rPr>
          <w:rFonts w:hint="default" w:ascii="Arial" w:hAnsi="Arial" w:eastAsia="Times New Roman" w:cs="Arial"/>
          <w:kern w:val="0"/>
          <w:sz w:val="24"/>
          <w:szCs w:val="24"/>
          <w:lang w:eastAsia="ru-RU"/>
          <w14:ligatures w14:val="none"/>
        </w:rPr>
        <w:t>подпунктом 24 пункта 2 статьи 3</w:t>
      </w:r>
      <w:r>
        <w:rPr>
          <w:rFonts w:hint="default" w:ascii="Arial" w:hAnsi="Arial" w:eastAsia="Times New Roman" w:cs="Arial"/>
          <w:kern w:val="0"/>
          <w:sz w:val="24"/>
          <w:szCs w:val="24"/>
          <w:lang w:eastAsia="ru-RU"/>
          <w14:ligatures w14:val="none"/>
        </w:rPr>
        <w:fldChar w:fldCharType="end"/>
      </w:r>
      <w:r>
        <w:rPr>
          <w:rFonts w:hint="default" w:ascii="Arial" w:hAnsi="Arial" w:eastAsia="Times New Roman" w:cs="Arial"/>
          <w:kern w:val="0"/>
          <w:sz w:val="24"/>
          <w:szCs w:val="24"/>
          <w:lang w:eastAsia="ru-RU"/>
          <w14:ligatures w14:val="none"/>
        </w:rPr>
        <w:t xml:space="preserve"> Федерального закона от 21 декабря 2001 г. N 178-ФЗ «О приватизации государственного и муниципального имущества», Уставом Вертячинского сельского поселения Городищенского муниципального района Волгоградской области, администрация Вертячинского сельского поселения Городищенского муниципального района Волгоградской области,</w:t>
      </w:r>
    </w:p>
    <w:p w14:paraId="5465CD67">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ПОСТАНОВЛЯЕТ:</w:t>
      </w:r>
    </w:p>
    <w:p w14:paraId="1F620542">
      <w:pPr>
        <w:suppressAutoHyphens/>
        <w:autoSpaceDE w:val="0"/>
        <w:spacing w:after="0" w:line="240" w:lineRule="auto"/>
        <w:ind w:firstLine="567"/>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 xml:space="preserve">1. Утвердить прилагаемый Порядок отчуждения древесины, полученной из срубленных, спиленных, срезанных стволов деревьев, произрастающих на земельных участках (их частях) или землях, находящихся в муниципальной собственности </w:t>
      </w:r>
      <w:r>
        <w:rPr>
          <w:rFonts w:hint="default" w:ascii="Arial" w:hAnsi="Arial" w:eastAsia="Calibri" w:cs="Arial"/>
          <w:kern w:val="0"/>
          <w:sz w:val="24"/>
          <w:szCs w:val="24"/>
          <w:lang w:eastAsia="ar-SA"/>
          <w14:ligatures w14:val="none"/>
        </w:rPr>
        <w:t>Вертячинского сельского поселения Городищенского муниципального района Волгоградской области</w:t>
      </w:r>
      <w:r>
        <w:rPr>
          <w:rFonts w:hint="default" w:ascii="Arial" w:hAnsi="Arial" w:eastAsia="Times New Roman" w:cs="Arial"/>
          <w:kern w:val="0"/>
          <w:sz w:val="24"/>
          <w:szCs w:val="24"/>
          <w:lang w:eastAsia="ru-RU"/>
          <w14:ligatures w14:val="none"/>
        </w:rPr>
        <w:t>.</w:t>
      </w:r>
    </w:p>
    <w:p w14:paraId="48715E36">
      <w:pPr>
        <w:suppressAutoHyphens/>
        <w:autoSpaceDE w:val="0"/>
        <w:spacing w:after="0" w:line="240" w:lineRule="auto"/>
        <w:jc w:val="both"/>
        <w:rPr>
          <w:rFonts w:hint="default" w:ascii="Arial" w:hAnsi="Arial" w:eastAsia="Calibri" w:cs="Arial"/>
          <w:kern w:val="0"/>
          <w:sz w:val="24"/>
          <w:szCs w:val="24"/>
          <w:lang w:eastAsia="ar-SA"/>
          <w14:ligatures w14:val="none"/>
        </w:rPr>
      </w:pPr>
      <w:r>
        <w:rPr>
          <w:rFonts w:hint="default" w:ascii="Arial" w:hAnsi="Arial" w:eastAsia="Calibri" w:cs="Arial"/>
          <w:b/>
          <w:bCs/>
          <w:kern w:val="0"/>
          <w:sz w:val="24"/>
          <w:szCs w:val="24"/>
          <w:lang w:eastAsia="ar-SA"/>
          <w14:ligatures w14:val="none"/>
        </w:rPr>
        <w:t xml:space="preserve">          </w:t>
      </w:r>
    </w:p>
    <w:p w14:paraId="4EA4D407">
      <w:pPr>
        <w:suppressAutoHyphens/>
        <w:autoSpaceDE w:val="0"/>
        <w:spacing w:after="0" w:line="240" w:lineRule="auto"/>
        <w:ind w:firstLine="567"/>
        <w:jc w:val="both"/>
        <w:rPr>
          <w:rFonts w:hint="default" w:ascii="Arial" w:hAnsi="Arial" w:eastAsia="Calibri" w:cs="Arial"/>
          <w:kern w:val="0"/>
          <w:sz w:val="24"/>
          <w:szCs w:val="24"/>
          <w:lang w:eastAsia="ar-SA"/>
          <w14:ligatures w14:val="none"/>
        </w:rPr>
      </w:pPr>
      <w:r>
        <w:rPr>
          <w:rFonts w:hint="default" w:ascii="Arial" w:hAnsi="Arial" w:eastAsia="Calibri" w:cs="Arial"/>
          <w:kern w:val="0"/>
          <w:sz w:val="24"/>
          <w:szCs w:val="24"/>
          <w:lang w:eastAsia="ar-SA"/>
          <w14:ligatures w14:val="none"/>
        </w:rPr>
        <w:t>2. Настоящее постановление вступает в силу после его официального опубликования.</w:t>
      </w:r>
    </w:p>
    <w:p w14:paraId="2466E6B6">
      <w:pPr>
        <w:suppressAutoHyphens/>
        <w:autoSpaceDE w:val="0"/>
        <w:spacing w:after="0" w:line="240" w:lineRule="auto"/>
        <w:ind w:firstLine="567"/>
        <w:jc w:val="both"/>
        <w:rPr>
          <w:rFonts w:hint="default" w:ascii="Arial" w:hAnsi="Arial" w:eastAsia="Calibri" w:cs="Arial"/>
          <w:kern w:val="0"/>
          <w:sz w:val="24"/>
          <w:szCs w:val="24"/>
          <w:lang w:eastAsia="ar-SA"/>
          <w14:ligatures w14:val="none"/>
        </w:rPr>
      </w:pPr>
    </w:p>
    <w:p w14:paraId="1AADA99D">
      <w:pPr>
        <w:suppressAutoHyphens/>
        <w:autoSpaceDE w:val="0"/>
        <w:spacing w:after="0" w:line="240" w:lineRule="auto"/>
        <w:ind w:firstLine="567"/>
        <w:jc w:val="both"/>
        <w:rPr>
          <w:rFonts w:hint="default" w:ascii="Arial" w:hAnsi="Arial" w:eastAsia="Calibri" w:cs="Arial"/>
          <w:kern w:val="0"/>
          <w:sz w:val="24"/>
          <w:szCs w:val="24"/>
          <w:lang w:eastAsia="ar-SA"/>
          <w14:ligatures w14:val="none"/>
        </w:rPr>
      </w:pPr>
    </w:p>
    <w:p w14:paraId="1350A92E">
      <w:pPr>
        <w:suppressAutoHyphens/>
        <w:autoSpaceDE w:val="0"/>
        <w:spacing w:after="0" w:line="240" w:lineRule="auto"/>
        <w:ind w:firstLine="567"/>
        <w:jc w:val="both"/>
        <w:rPr>
          <w:rFonts w:hint="default" w:ascii="Arial" w:hAnsi="Arial" w:eastAsia="Calibri" w:cs="Arial"/>
          <w:kern w:val="0"/>
          <w:sz w:val="24"/>
          <w:szCs w:val="24"/>
          <w:lang w:eastAsia="ar-SA"/>
          <w14:ligatures w14:val="none"/>
        </w:rPr>
      </w:pPr>
    </w:p>
    <w:p w14:paraId="5A1DB909">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r>
        <w:rPr>
          <w:rFonts w:hint="default" w:ascii="Arial" w:hAnsi="Arial" w:eastAsia="Calibri" w:cs="Arial"/>
          <w:kern w:val="0"/>
          <w:sz w:val="24"/>
          <w:szCs w:val="24"/>
          <w:lang w:eastAsia="ar-SA"/>
          <w14:ligatures w14:val="none"/>
        </w:rPr>
        <w:t xml:space="preserve">      </w:t>
      </w:r>
    </w:p>
    <w:p w14:paraId="0007D199">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p>
    <w:p w14:paraId="3E5A8A80">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p>
    <w:p w14:paraId="5FA0822F">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p>
    <w:p w14:paraId="7E1F5DC7">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p>
    <w:p w14:paraId="0AA36028">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p>
    <w:p w14:paraId="4F086109">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p>
    <w:p w14:paraId="18770595">
      <w:pPr>
        <w:widowControl w:val="0"/>
        <w:suppressAutoHyphens/>
        <w:autoSpaceDE w:val="0"/>
        <w:spacing w:after="0" w:line="240" w:lineRule="auto"/>
        <w:jc w:val="both"/>
        <w:rPr>
          <w:rFonts w:hint="default" w:ascii="Arial" w:hAnsi="Arial" w:eastAsia="Calibri" w:cs="Arial"/>
          <w:kern w:val="0"/>
          <w:sz w:val="24"/>
          <w:szCs w:val="24"/>
          <w:lang w:eastAsia="ar-SA"/>
          <w14:ligatures w14:val="none"/>
        </w:rPr>
      </w:pPr>
      <w:r>
        <w:rPr>
          <w:rFonts w:hint="default" w:ascii="Arial" w:hAnsi="Arial" w:eastAsia="Calibri" w:cs="Arial"/>
          <w:kern w:val="0"/>
          <w:sz w:val="24"/>
          <w:szCs w:val="24"/>
          <w:lang w:eastAsia="ar-SA"/>
          <w14:ligatures w14:val="none"/>
        </w:rPr>
        <w:t xml:space="preserve">  Глава Вертячинского сельского поселения                        В.В. Саутина</w:t>
      </w:r>
    </w:p>
    <w:p w14:paraId="13F22A4C">
      <w:pPr>
        <w:widowControl w:val="0"/>
        <w:autoSpaceDE w:val="0"/>
        <w:autoSpaceDN w:val="0"/>
        <w:spacing w:after="0" w:line="240" w:lineRule="auto"/>
        <w:jc w:val="both"/>
        <w:rPr>
          <w:rFonts w:hint="default" w:ascii="Arial" w:hAnsi="Arial" w:eastAsia="Times New Roman" w:cs="Arial"/>
          <w:kern w:val="0"/>
          <w:sz w:val="24"/>
          <w:szCs w:val="24"/>
          <w:lang w:eastAsia="ru-RU"/>
          <w14:ligatures w14:val="none"/>
        </w:rPr>
      </w:pPr>
    </w:p>
    <w:p w14:paraId="7A484095">
      <w:pPr>
        <w:widowControl w:val="0"/>
        <w:autoSpaceDE w:val="0"/>
        <w:autoSpaceDN w:val="0"/>
        <w:spacing w:after="0" w:line="240" w:lineRule="auto"/>
        <w:jc w:val="both"/>
        <w:rPr>
          <w:rFonts w:hint="default" w:ascii="Arial" w:hAnsi="Arial" w:eastAsia="Times New Roman" w:cs="Arial"/>
          <w:kern w:val="0"/>
          <w:sz w:val="24"/>
          <w:szCs w:val="24"/>
          <w:lang w:eastAsia="ru-RU"/>
          <w14:ligatures w14:val="none"/>
        </w:rPr>
      </w:pPr>
    </w:p>
    <w:p w14:paraId="1293E99C">
      <w:pPr>
        <w:widowControl w:val="0"/>
        <w:autoSpaceDE w:val="0"/>
        <w:autoSpaceDN w:val="0"/>
        <w:spacing w:after="0" w:line="240" w:lineRule="auto"/>
        <w:jc w:val="both"/>
        <w:rPr>
          <w:rFonts w:hint="default" w:ascii="Arial" w:hAnsi="Arial" w:eastAsia="Times New Roman" w:cs="Arial"/>
          <w:kern w:val="0"/>
          <w:sz w:val="24"/>
          <w:szCs w:val="24"/>
          <w:lang w:eastAsia="ru-RU"/>
          <w14:ligatures w14:val="none"/>
        </w:rPr>
      </w:pPr>
    </w:p>
    <w:p w14:paraId="2913888C">
      <w:pPr>
        <w:widowControl w:val="0"/>
        <w:autoSpaceDE w:val="0"/>
        <w:autoSpaceDN w:val="0"/>
        <w:spacing w:after="0" w:line="240" w:lineRule="auto"/>
        <w:jc w:val="both"/>
        <w:rPr>
          <w:rFonts w:hint="default" w:ascii="Arial" w:hAnsi="Arial" w:eastAsia="Times New Roman" w:cs="Arial"/>
          <w:kern w:val="0"/>
          <w:sz w:val="24"/>
          <w:szCs w:val="24"/>
          <w:lang w:eastAsia="ru-RU"/>
          <w14:ligatures w14:val="none"/>
        </w:rPr>
      </w:pPr>
    </w:p>
    <w:p w14:paraId="7D601926">
      <w:pPr>
        <w:widowControl w:val="0"/>
        <w:autoSpaceDE w:val="0"/>
        <w:autoSpaceDN w:val="0"/>
        <w:spacing w:after="0" w:line="240" w:lineRule="auto"/>
        <w:jc w:val="center"/>
        <w:outlineLvl w:val="0"/>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val="en-US" w:eastAsia="ru-RU"/>
          <w14:ligatures w14:val="none"/>
        </w:rPr>
        <w:t xml:space="preserve">                                                                                                                         </w:t>
      </w:r>
      <w:r>
        <w:rPr>
          <w:rFonts w:hint="default" w:ascii="Arial" w:hAnsi="Arial" w:eastAsia="Times New Roman" w:cs="Arial"/>
          <w:kern w:val="0"/>
          <w:sz w:val="24"/>
          <w:szCs w:val="24"/>
          <w:lang w:eastAsia="ru-RU"/>
          <w14:ligatures w14:val="none"/>
        </w:rPr>
        <w:t>Утвержден</w:t>
      </w:r>
    </w:p>
    <w:p w14:paraId="6AB1B8EB">
      <w:pPr>
        <w:widowControl w:val="0"/>
        <w:autoSpaceDE w:val="0"/>
        <w:autoSpaceDN w:val="0"/>
        <w:spacing w:after="0" w:line="240" w:lineRule="auto"/>
        <w:jc w:val="right"/>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постановлением</w:t>
      </w:r>
    </w:p>
    <w:p w14:paraId="3F1001C9">
      <w:pPr>
        <w:widowControl w:val="0"/>
        <w:autoSpaceDE w:val="0"/>
        <w:autoSpaceDN w:val="0"/>
        <w:spacing w:after="0" w:line="240" w:lineRule="auto"/>
        <w:jc w:val="right"/>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администрации Вертячинского сельского поселения</w:t>
      </w:r>
    </w:p>
    <w:p w14:paraId="43481592">
      <w:pPr>
        <w:widowControl w:val="0"/>
        <w:autoSpaceDE w:val="0"/>
        <w:autoSpaceDN w:val="0"/>
        <w:spacing w:after="0" w:line="240" w:lineRule="auto"/>
        <w:jc w:val="right"/>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 xml:space="preserve">Городищенского муниципального района </w:t>
      </w:r>
    </w:p>
    <w:p w14:paraId="0ECF1E1C">
      <w:pPr>
        <w:widowControl w:val="0"/>
        <w:autoSpaceDE w:val="0"/>
        <w:autoSpaceDN w:val="0"/>
        <w:spacing w:after="0" w:line="240" w:lineRule="auto"/>
        <w:jc w:val="right"/>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Волгоградской области</w:t>
      </w:r>
    </w:p>
    <w:p w14:paraId="642163DE">
      <w:pPr>
        <w:widowControl w:val="0"/>
        <w:autoSpaceDE w:val="0"/>
        <w:autoSpaceDN w:val="0"/>
        <w:spacing w:after="0" w:line="240" w:lineRule="auto"/>
        <w:jc w:val="right"/>
        <w:rPr>
          <w:rFonts w:hint="default" w:ascii="Arial" w:hAnsi="Arial" w:eastAsia="Times New Roman" w:cs="Arial"/>
          <w:kern w:val="0"/>
          <w:sz w:val="24"/>
          <w:szCs w:val="24"/>
          <w:lang w:val="en-US" w:eastAsia="ru-RU"/>
          <w14:ligatures w14:val="none"/>
        </w:rPr>
      </w:pPr>
      <w:r>
        <w:rPr>
          <w:rFonts w:hint="default" w:ascii="Arial" w:hAnsi="Arial" w:eastAsia="Times New Roman" w:cs="Arial"/>
          <w:kern w:val="0"/>
          <w:sz w:val="24"/>
          <w:szCs w:val="24"/>
          <w:lang w:eastAsia="ru-RU"/>
          <w14:ligatures w14:val="none"/>
        </w:rPr>
        <w:t xml:space="preserve">от </w:t>
      </w:r>
      <w:r>
        <w:rPr>
          <w:rFonts w:hint="default" w:ascii="Arial" w:hAnsi="Arial" w:eastAsia="Times New Roman" w:cs="Arial"/>
          <w:kern w:val="0"/>
          <w:sz w:val="24"/>
          <w:szCs w:val="24"/>
          <w:lang w:val="en-US" w:eastAsia="ru-RU"/>
          <w14:ligatures w14:val="none"/>
        </w:rPr>
        <w:t>04.08.2026 г. №</w:t>
      </w:r>
      <w:r>
        <w:rPr>
          <w:rFonts w:hint="default" w:ascii="Arial" w:hAnsi="Arial" w:eastAsia="Times New Roman" w:cs="Arial"/>
          <w:kern w:val="0"/>
          <w:sz w:val="24"/>
          <w:szCs w:val="24"/>
          <w:lang w:eastAsia="ru-RU"/>
          <w14:ligatures w14:val="none"/>
        </w:rPr>
        <w:t xml:space="preserve"> </w:t>
      </w:r>
      <w:r>
        <w:rPr>
          <w:rFonts w:hint="default" w:ascii="Arial" w:hAnsi="Arial" w:eastAsia="Times New Roman" w:cs="Arial"/>
          <w:kern w:val="0"/>
          <w:sz w:val="24"/>
          <w:szCs w:val="24"/>
          <w:lang w:val="en-US" w:eastAsia="ru-RU"/>
          <w14:ligatures w14:val="none"/>
        </w:rPr>
        <w:t>47</w:t>
      </w:r>
    </w:p>
    <w:p w14:paraId="70013268">
      <w:pPr>
        <w:widowControl w:val="0"/>
        <w:autoSpaceDE w:val="0"/>
        <w:autoSpaceDN w:val="0"/>
        <w:spacing w:after="0" w:line="240" w:lineRule="auto"/>
        <w:jc w:val="both"/>
        <w:rPr>
          <w:rFonts w:hint="default" w:ascii="Arial" w:hAnsi="Arial" w:eastAsia="Times New Roman" w:cs="Arial"/>
          <w:kern w:val="0"/>
          <w:sz w:val="24"/>
          <w:szCs w:val="24"/>
          <w:lang w:eastAsia="ru-RU"/>
          <w14:ligatures w14:val="none"/>
        </w:rPr>
      </w:pPr>
    </w:p>
    <w:p w14:paraId="78F7BC29">
      <w:pPr>
        <w:widowControl w:val="0"/>
        <w:autoSpaceDE w:val="0"/>
        <w:autoSpaceDN w:val="0"/>
        <w:spacing w:after="0" w:line="240" w:lineRule="auto"/>
        <w:jc w:val="center"/>
        <w:rPr>
          <w:rFonts w:hint="default" w:ascii="Arial" w:hAnsi="Arial" w:eastAsia="Times New Roman" w:cs="Arial"/>
          <w:b/>
          <w:kern w:val="0"/>
          <w:sz w:val="24"/>
          <w:szCs w:val="24"/>
          <w:lang w:eastAsia="ru-RU"/>
          <w14:ligatures w14:val="none"/>
        </w:rPr>
      </w:pPr>
      <w:bookmarkStart w:id="0" w:name="P27"/>
      <w:bookmarkEnd w:id="0"/>
      <w:r>
        <w:rPr>
          <w:rFonts w:hint="default" w:ascii="Arial" w:hAnsi="Arial" w:eastAsia="Times New Roman" w:cs="Arial"/>
          <w:b/>
          <w:kern w:val="0"/>
          <w:sz w:val="24"/>
          <w:szCs w:val="24"/>
          <w:lang w:eastAsia="ru-RU"/>
          <w14:ligatures w14:val="none"/>
        </w:rPr>
        <w:t>Порядок</w:t>
      </w:r>
    </w:p>
    <w:p w14:paraId="52FA5ED0">
      <w:pPr>
        <w:widowControl w:val="0"/>
        <w:autoSpaceDE w:val="0"/>
        <w:autoSpaceDN w:val="0"/>
        <w:spacing w:after="0" w:line="240" w:lineRule="auto"/>
        <w:jc w:val="center"/>
        <w:rPr>
          <w:rFonts w:hint="default" w:ascii="Arial" w:hAnsi="Arial" w:eastAsia="Times New Roman" w:cs="Arial"/>
          <w:b/>
          <w:kern w:val="0"/>
          <w:sz w:val="24"/>
          <w:szCs w:val="24"/>
          <w:lang w:eastAsia="ru-RU"/>
          <w14:ligatures w14:val="none"/>
        </w:rPr>
      </w:pPr>
      <w:r>
        <w:rPr>
          <w:rFonts w:hint="default" w:ascii="Arial" w:hAnsi="Arial" w:eastAsia="Times New Roman" w:cs="Arial"/>
          <w:b/>
          <w:kern w:val="0"/>
          <w:sz w:val="24"/>
          <w:szCs w:val="24"/>
          <w:lang w:eastAsia="ru-RU"/>
          <w14:ligatures w14:val="none"/>
        </w:rPr>
        <w:t>отчуждения древесины, полученной из срубленных, спиленных,</w:t>
      </w:r>
    </w:p>
    <w:p w14:paraId="6A143D62">
      <w:pPr>
        <w:widowControl w:val="0"/>
        <w:autoSpaceDE w:val="0"/>
        <w:autoSpaceDN w:val="0"/>
        <w:spacing w:after="0" w:line="240" w:lineRule="auto"/>
        <w:jc w:val="center"/>
        <w:rPr>
          <w:rFonts w:hint="default" w:ascii="Arial" w:hAnsi="Arial" w:eastAsia="Times New Roman" w:cs="Arial"/>
          <w:b/>
          <w:kern w:val="0"/>
          <w:sz w:val="24"/>
          <w:szCs w:val="24"/>
          <w:lang w:eastAsia="ru-RU"/>
          <w14:ligatures w14:val="none"/>
        </w:rPr>
      </w:pPr>
      <w:r>
        <w:rPr>
          <w:rFonts w:hint="default" w:ascii="Arial" w:hAnsi="Arial" w:eastAsia="Times New Roman" w:cs="Arial"/>
          <w:b/>
          <w:kern w:val="0"/>
          <w:sz w:val="24"/>
          <w:szCs w:val="24"/>
          <w:lang w:eastAsia="ru-RU"/>
          <w14:ligatures w14:val="none"/>
        </w:rPr>
        <w:t>срезанных стволов деревьев, произрастающих на земельных</w:t>
      </w:r>
    </w:p>
    <w:p w14:paraId="2583C10E">
      <w:pPr>
        <w:widowControl w:val="0"/>
        <w:autoSpaceDE w:val="0"/>
        <w:autoSpaceDN w:val="0"/>
        <w:spacing w:after="0" w:line="240" w:lineRule="auto"/>
        <w:jc w:val="center"/>
        <w:rPr>
          <w:rFonts w:hint="default" w:ascii="Arial" w:hAnsi="Arial" w:eastAsia="Times New Roman" w:cs="Arial"/>
          <w:b/>
          <w:kern w:val="0"/>
          <w:sz w:val="24"/>
          <w:szCs w:val="24"/>
          <w:lang w:eastAsia="ru-RU"/>
          <w14:ligatures w14:val="none"/>
        </w:rPr>
      </w:pPr>
      <w:r>
        <w:rPr>
          <w:rFonts w:hint="default" w:ascii="Arial" w:hAnsi="Arial" w:eastAsia="Times New Roman" w:cs="Arial"/>
          <w:b/>
          <w:kern w:val="0"/>
          <w:sz w:val="24"/>
          <w:szCs w:val="24"/>
          <w:lang w:eastAsia="ru-RU"/>
          <w14:ligatures w14:val="none"/>
        </w:rPr>
        <w:t>участках (их частях) или землях, находящихся в муниципальной</w:t>
      </w:r>
    </w:p>
    <w:p w14:paraId="4A91F181">
      <w:pPr>
        <w:widowControl w:val="0"/>
        <w:autoSpaceDE w:val="0"/>
        <w:autoSpaceDN w:val="0"/>
        <w:spacing w:after="0" w:line="240" w:lineRule="auto"/>
        <w:jc w:val="center"/>
        <w:rPr>
          <w:rFonts w:hint="default" w:ascii="Arial" w:hAnsi="Arial" w:eastAsia="Times New Roman" w:cs="Arial"/>
          <w:b/>
          <w:kern w:val="0"/>
          <w:sz w:val="24"/>
          <w:szCs w:val="24"/>
          <w:lang w:eastAsia="ru-RU"/>
          <w14:ligatures w14:val="none"/>
        </w:rPr>
      </w:pPr>
      <w:r>
        <w:rPr>
          <w:rFonts w:hint="default" w:ascii="Arial" w:hAnsi="Arial" w:eastAsia="Times New Roman" w:cs="Arial"/>
          <w:b/>
          <w:kern w:val="0"/>
          <w:sz w:val="24"/>
          <w:szCs w:val="24"/>
          <w:lang w:eastAsia="ru-RU"/>
          <w14:ligatures w14:val="none"/>
        </w:rPr>
        <w:t>собственности Вертячинского сельского поселения Городищенского муниципального района Волгоградской области</w:t>
      </w:r>
    </w:p>
    <w:p w14:paraId="5BEABD46">
      <w:pPr>
        <w:widowControl w:val="0"/>
        <w:autoSpaceDE w:val="0"/>
        <w:autoSpaceDN w:val="0"/>
        <w:spacing w:after="0" w:line="240" w:lineRule="auto"/>
        <w:jc w:val="both"/>
        <w:rPr>
          <w:rFonts w:hint="default" w:ascii="Arial" w:hAnsi="Arial" w:eastAsia="Times New Roman" w:cs="Arial"/>
          <w:kern w:val="0"/>
          <w:sz w:val="24"/>
          <w:szCs w:val="24"/>
          <w:lang w:eastAsia="ru-RU"/>
          <w14:ligatures w14:val="none"/>
        </w:rPr>
      </w:pPr>
    </w:p>
    <w:p w14:paraId="576C1758">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1. Настоящий Порядок устанавливает порядок отчуждения древесины, полученной из срубленных, спиленных, срезанных стволов деревьев (далее - древесина), произрастающих на земельных участках (их частях) или землях, находящихся в муниципальной собственности Вертячинского сельского поселения Городищенского муниципального района Волгоградской области, и предоставленных в аренду, безвозмездное пользование юридическому (физическому) лицу (далее - лицо) путем реализации древесины на торгах и без проведения торгов.</w:t>
      </w:r>
    </w:p>
    <w:p w14:paraId="68C880E7">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2. Настоящий Порядок не распространяется на отчуждение древесины, которая получена в результате использования лесов и осуществления мероприятий по сохранению лесов, порядок отчуждения которой урегулирован лесным законодательством; на отчуждение древесины, образующейся при санитарных рубках деревьев, произрастающих на объектах озеленения, переданных в оперативное управление и (или) на хранение муниципальным учреждениям Вертячинского сельского поселения Городищенского муниципального района Волгоградской области, а также на отчуждение древесины на садовых, огородных, дачных и приусадебных земельных участках, на земельных участках, занятых ботаническими садами, питомниками для выращивания посадочного материала, индивидуальной жилой застройкой (за исключением случаев осуществления градостроительной деятельности), личными подсобными хозяйствами.</w:t>
      </w:r>
    </w:p>
    <w:p w14:paraId="6F061A5F">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3. Отчуждение древесины осуществляется путем ее продажи.</w:t>
      </w:r>
    </w:p>
    <w:p w14:paraId="582EA366">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Продажа древесины осуществляется администрацией Вертячинского сельского поселения Городищенского муниципального района Волгоградской области (далее - администрация).</w:t>
      </w:r>
    </w:p>
    <w:p w14:paraId="103F67AF">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Функции по определению начальной цены продажи древесины на аукционе на право заключения договора купли-продажи древесины (далее - аукцион), величины повышения начальной цены продажи древесины на аукционе, условий аукционов и их изменений, существенных условий договора купли-продажи древесины (далее - договор купли-продажи), а также по заключению договора купли-продажи осуществляются администрацией.</w:t>
      </w:r>
    </w:p>
    <w:p w14:paraId="6B796011">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 xml:space="preserve">4. Реализация древесины без проведения аукциона осуществляется исключительно лицу, использующему в соответствии с земельным законодательством земельный участок, находящийся в муниципальной собственности, и получившему древесину в результате рубки деревьев (далее - пользователь земельного участка), по рыночной стоимости, определенной в соответствии с Федеральным </w:t>
      </w:r>
      <w:r>
        <w:rPr>
          <w:rFonts w:hint="default" w:ascii="Arial" w:hAnsi="Arial" w:cs="Arial"/>
          <w:sz w:val="24"/>
          <w:szCs w:val="24"/>
          <w:lang w:eastAsia="ru-RU"/>
        </w:rPr>
        <w:t>законом</w:t>
      </w:r>
      <w:r>
        <w:rPr>
          <w:rFonts w:hint="default" w:ascii="Arial" w:hAnsi="Arial" w:eastAsia="Times New Roman" w:cs="Arial"/>
          <w:kern w:val="0"/>
          <w:sz w:val="24"/>
          <w:szCs w:val="24"/>
          <w:lang w:eastAsia="ru-RU"/>
          <w14:ligatures w14:val="none"/>
        </w:rPr>
        <w:t xml:space="preserve"> от 29 июля 1998 г. N 135-ФЗ "Об оценочной деятельности в Российской Федерации" (далее - рыночная стоимость).</w:t>
      </w:r>
    </w:p>
    <w:p w14:paraId="2A674E8F">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5. Уведомление о произведенной вырубке деревьев с приложением согласия на выкуп древесины без проведения торгов (далее - согласие на выкуп древесины) либо отказа от выкупа древесины без проведения торгов (далее - отказ от выкупа древесины) направляется в администрацию пользователем земельного участка в течение трех рабочих дней после завершения рубки деревьев с приложением документов, подтверждающих право на осуществление рубки деревьев на земельном участке.</w:t>
      </w:r>
    </w:p>
    <w:p w14:paraId="583D8A75">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Согласие на выкуп древесины либо отказ от выкупа древесины оформляются пользователем земельного участка в произвольной форме и должны содержать сведения о характеристиках древесины, в том числе об объемной характеристике.</w:t>
      </w:r>
    </w:p>
    <w:p w14:paraId="4BF5816C">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6. Ответственность за достоверность представленной в администрацию информации о полученной древесине несет пользователь земельного участка в соответствии с законодательством Российской Федерации.</w:t>
      </w:r>
    </w:p>
    <w:p w14:paraId="2472DAB0">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7. В случае получения администрацией от пользователя земельного участка согласия на выкуп древесины администрация  в течение 15 рабочих дней со дня получения согласия на выкуп древесины принимает решение о продаже древесины либо об отказе в продаже древесины в случае непредставления пользователем земельного участка документов, подтверждающих право на осуществление рубки деревьев на земельном участке (в форме уведомления).</w:t>
      </w:r>
    </w:p>
    <w:p w14:paraId="653C4C3B">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8. Решение о продаже древесины принимается администрацией в виде распоряжения без включения древесины в прогнозный план (программу) приватизации муниципального имущества Вертячинского сельского поселения Городищенского муниципального района Волгоградской области.</w:t>
      </w:r>
    </w:p>
    <w:p w14:paraId="55455969">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9. Решение о продаже древесины должно содержать следующие сведения:</w:t>
      </w:r>
    </w:p>
    <w:p w14:paraId="6083F326">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характеристику древесины, в том числе объемную характеристику;</w:t>
      </w:r>
    </w:p>
    <w:p w14:paraId="4113E91F">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способ продажи древесины: аукцион или продажа пользователю земельного участка;</w:t>
      </w:r>
    </w:p>
    <w:p w14:paraId="33E32ED1">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рыночную стоимость, определенную в соответствии с законодательством Российской Федерации об оценочной деятельности (в случае продажи древесины пользователю земельного участка);</w:t>
      </w:r>
    </w:p>
    <w:p w14:paraId="2D87D8A0">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начальную цену древесины, подлежащей продаже на аукционе (в случае проведения аукциона);</w:t>
      </w:r>
    </w:p>
    <w:p w14:paraId="4F8E3DA7">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информацию о пользователе земельного участка (в случае продажи древесины пользователю земельного участка).</w:t>
      </w:r>
    </w:p>
    <w:p w14:paraId="1EE00D1B">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10. В течение 12 рабочих дней со дня принятия решения о продаже древесины путем продажи древесины пользователю земельного участка администрация направляет в адрес пользователя земельного участка два экземпляра подписанного проекта договора купли-продажи любым способом, позволяющим подтвердить факт его получения пользователем земельного участка.</w:t>
      </w:r>
    </w:p>
    <w:p w14:paraId="14638BB2">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11. Пользователь земельного участка в течение 12 рабочих дней со дня получения от администрации проекта договора купли-продажи направляет в администрацию подписанный договор купли-продажи и производит полную оплату древесины по реквизитам, предусмотренным договором купли-продажи.</w:t>
      </w:r>
    </w:p>
    <w:p w14:paraId="49F2D8B2">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 xml:space="preserve">12. В случае поступления от пользователя земельного участка отказа от выкупа древесины, а также в иных случаях, предусмотренных пунктом 13 настоящего Порядка, администрация осуществляет реализацию древесины путем проведения аукциона в электронной форме в порядке, предусмотренном </w:t>
      </w:r>
      <w:r>
        <w:rPr>
          <w:rFonts w:hint="default" w:ascii="Arial" w:hAnsi="Arial" w:cs="Arial"/>
          <w:sz w:val="24"/>
          <w:szCs w:val="24"/>
        </w:rPr>
        <w:fldChar w:fldCharType="begin"/>
      </w:r>
      <w:r>
        <w:rPr>
          <w:rFonts w:hint="default" w:ascii="Arial" w:hAnsi="Arial" w:cs="Arial"/>
          <w:sz w:val="24"/>
          <w:szCs w:val="24"/>
        </w:rPr>
        <w:instrText xml:space="preserve"> HYPERLINK \l "P57" \o "14. Аукцион является открытым по составу участников и форме подачи предложений о цене." \h </w:instrText>
      </w:r>
      <w:r>
        <w:rPr>
          <w:rFonts w:hint="default" w:ascii="Arial" w:hAnsi="Arial" w:cs="Arial"/>
          <w:sz w:val="24"/>
          <w:szCs w:val="24"/>
        </w:rPr>
        <w:fldChar w:fldCharType="separate"/>
      </w:r>
      <w:r>
        <w:rPr>
          <w:rFonts w:hint="default" w:ascii="Arial" w:hAnsi="Arial" w:eastAsia="Times New Roman" w:cs="Arial"/>
          <w:kern w:val="0"/>
          <w:sz w:val="24"/>
          <w:szCs w:val="24"/>
          <w:lang w:eastAsia="ru-RU"/>
          <w14:ligatures w14:val="none"/>
        </w:rPr>
        <w:t>пунктами 14</w:t>
      </w:r>
      <w:r>
        <w:rPr>
          <w:rFonts w:hint="default" w:ascii="Arial" w:hAnsi="Arial" w:eastAsia="Times New Roman" w:cs="Arial"/>
          <w:kern w:val="0"/>
          <w:sz w:val="24"/>
          <w:szCs w:val="24"/>
          <w:lang w:eastAsia="ru-RU"/>
          <w14:ligatures w14:val="none"/>
        </w:rPr>
        <w:fldChar w:fldCharType="end"/>
      </w:r>
      <w:r>
        <w:rPr>
          <w:rFonts w:hint="default" w:ascii="Arial" w:hAnsi="Arial" w:eastAsia="Times New Roman" w:cs="Arial"/>
          <w:kern w:val="0"/>
          <w:sz w:val="24"/>
          <w:szCs w:val="24"/>
          <w:lang w:eastAsia="ru-RU"/>
          <w14:ligatures w14:val="none"/>
        </w:rPr>
        <w:t xml:space="preserve"> - </w:t>
      </w:r>
      <w:r>
        <w:rPr>
          <w:rFonts w:hint="default" w:ascii="Arial" w:hAnsi="Arial" w:cs="Arial"/>
          <w:sz w:val="24"/>
          <w:szCs w:val="24"/>
        </w:rPr>
        <w:fldChar w:fldCharType="begin"/>
      </w:r>
      <w:r>
        <w:rPr>
          <w:rFonts w:hint="default" w:ascii="Arial" w:hAnsi="Arial" w:cs="Arial"/>
          <w:sz w:val="24"/>
          <w:szCs w:val="24"/>
        </w:rPr>
        <w:instrText xml:space="preserve"> HYPERLINK \l "P72" \o "26. Древесина считается переданной департаментом и принятой покупателем древесины с момента ее полной оплаты по договору купли-продажи без оформления акта приема-передачи древесины." \h </w:instrText>
      </w:r>
      <w:r>
        <w:rPr>
          <w:rFonts w:hint="default" w:ascii="Arial" w:hAnsi="Arial" w:cs="Arial"/>
          <w:sz w:val="24"/>
          <w:szCs w:val="24"/>
        </w:rPr>
        <w:fldChar w:fldCharType="separate"/>
      </w:r>
      <w:r>
        <w:rPr>
          <w:rFonts w:hint="default" w:ascii="Arial" w:hAnsi="Arial" w:eastAsia="Times New Roman" w:cs="Arial"/>
          <w:kern w:val="0"/>
          <w:sz w:val="24"/>
          <w:szCs w:val="24"/>
          <w:lang w:eastAsia="ru-RU"/>
          <w14:ligatures w14:val="none"/>
        </w:rPr>
        <w:t>26</w:t>
      </w:r>
      <w:r>
        <w:rPr>
          <w:rFonts w:hint="default" w:ascii="Arial" w:hAnsi="Arial" w:eastAsia="Times New Roman" w:cs="Arial"/>
          <w:kern w:val="0"/>
          <w:sz w:val="24"/>
          <w:szCs w:val="24"/>
          <w:lang w:eastAsia="ru-RU"/>
          <w14:ligatures w14:val="none"/>
        </w:rPr>
        <w:fldChar w:fldCharType="end"/>
      </w:r>
      <w:r>
        <w:rPr>
          <w:rFonts w:hint="default" w:ascii="Arial" w:hAnsi="Arial" w:eastAsia="Times New Roman" w:cs="Arial"/>
          <w:kern w:val="0"/>
          <w:sz w:val="24"/>
          <w:szCs w:val="24"/>
          <w:lang w:eastAsia="ru-RU"/>
          <w14:ligatures w14:val="none"/>
        </w:rPr>
        <w:t xml:space="preserve"> настоящего Порядка.</w:t>
      </w:r>
    </w:p>
    <w:p w14:paraId="047004E0">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bookmarkStart w:id="1" w:name="P53"/>
      <w:bookmarkEnd w:id="1"/>
      <w:r>
        <w:rPr>
          <w:rFonts w:hint="default" w:ascii="Arial" w:hAnsi="Arial" w:eastAsia="Times New Roman" w:cs="Arial"/>
          <w:kern w:val="0"/>
          <w:sz w:val="24"/>
          <w:szCs w:val="24"/>
          <w:lang w:eastAsia="ru-RU"/>
          <w14:ligatures w14:val="none"/>
        </w:rPr>
        <w:t>13. Реализация древесины пользователю земельного участка без проведения торгов не осуществляется в случае:</w:t>
      </w:r>
    </w:p>
    <w:p w14:paraId="5877C18B">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а) отсутствия пользователя земельного участка;</w:t>
      </w:r>
    </w:p>
    <w:p w14:paraId="0548C5DF">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б) непредставления пользователем земельного участка документов, подтверждающих право на осуществление рубки деревьев на земельном участке;</w:t>
      </w:r>
    </w:p>
    <w:p w14:paraId="53DB9D5B">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в) непоступления в администрацию от пользователя земельного участка подписанного договора купли-продажи и полной оплаты древесины по истечении 15 рабочих дней со дня направления администрацией проекта договора купли-продажи пользователю земельного участка.</w:t>
      </w:r>
    </w:p>
    <w:p w14:paraId="2B307F61">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bookmarkStart w:id="2" w:name="P57"/>
      <w:bookmarkEnd w:id="2"/>
      <w:r>
        <w:rPr>
          <w:rFonts w:hint="default" w:ascii="Arial" w:hAnsi="Arial" w:eastAsia="Times New Roman" w:cs="Arial"/>
          <w:kern w:val="0"/>
          <w:sz w:val="24"/>
          <w:szCs w:val="24"/>
          <w:lang w:eastAsia="ru-RU"/>
          <w14:ligatures w14:val="none"/>
        </w:rPr>
        <w:t>14. Аукцион является открытым по составу участников и форме подачи предложений о цене.</w:t>
      </w:r>
    </w:p>
    <w:p w14:paraId="7E938579">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15. Начальная цена древесины, подлежащей продаже на аукционе, равна ее рыночной стоимости с учетом особенностей, определенных пунктом 23 настоящего Порядка.</w:t>
      </w:r>
    </w:p>
    <w:p w14:paraId="7C747FF8">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16. Время, место и порядок проведения аукциона, сроки подачи заявок на участие в аукционе, величина повышения начальной цены предмета аукциона (шаг аукциона), перечень документов, прилагаемых к заявке на участие в аукционе, иные условия продажи определяются администрацией и указываются в извещении о проведении аукциона.</w:t>
      </w:r>
    </w:p>
    <w:p w14:paraId="1C5E479B">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17. Задаток для участия в аукционе не устанавливается.</w:t>
      </w:r>
    </w:p>
    <w:p w14:paraId="67EDB82F">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18. Извещение о проведении аукциона размещается на официальном сайте Российской Федерации для размещения информации о проведении торгов, а также на официальном сайте администрации Вертячинского сельского поселения Городищенского муниципального района Волгоградской области в информационно-телекоммуникационной сети Интернет (далее - официальные сайты)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14:paraId="25BFC9BA">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bookmarkStart w:id="3" w:name="P62"/>
      <w:bookmarkEnd w:id="3"/>
      <w:r>
        <w:rPr>
          <w:rFonts w:hint="default" w:ascii="Arial" w:hAnsi="Arial" w:eastAsia="Times New Roman" w:cs="Arial"/>
          <w:kern w:val="0"/>
          <w:sz w:val="24"/>
          <w:szCs w:val="24"/>
          <w:lang w:eastAsia="ru-RU"/>
          <w14:ligatures w14:val="none"/>
        </w:rPr>
        <w:t>19. Аукцион признается несостоявшимся в следующих случаях:</w:t>
      </w:r>
    </w:p>
    <w:p w14:paraId="49AAB891">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а) не было подано ни одной заявки на участие в аукционе либо ни один из претендентов не признан участником аукциона;</w:t>
      </w:r>
    </w:p>
    <w:p w14:paraId="35775DE8">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б) лицо, признанное единственным участником аукциона, отказалось от заключения договора купли-продажи;</w:t>
      </w:r>
    </w:p>
    <w:p w14:paraId="3F5A4ED8">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в) ни один из участников аукциона не сделал предложение о начальной цене имущества.</w:t>
      </w:r>
    </w:p>
    <w:p w14:paraId="068F8BD7">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20. Победителем аукциона признается участник аукциона, предложивший наиболее высокую цену за объект продажи.</w:t>
      </w:r>
    </w:p>
    <w:p w14:paraId="4BF462A3">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21. Договор купли-продажи заключается с победителем аукциона или с лицом, признанным единственным участником аукциона, в течение пяти рабочих дней со дня подведения итогов аукциона.</w:t>
      </w:r>
    </w:p>
    <w:p w14:paraId="7978F582">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22. При уклонении или отказе победителя аукциона или лица, признанного единственным участником аукциона, от заключения в установленный срок договора купли-продажи результаты аукциона аннулируются администрацией, победитель аукциона или лицо, признанное единственным участником аукциона, утрачивает право на заключение указанного договора.</w:t>
      </w:r>
    </w:p>
    <w:p w14:paraId="306F6474">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bookmarkStart w:id="4" w:name="P69"/>
      <w:bookmarkEnd w:id="4"/>
      <w:r>
        <w:rPr>
          <w:rFonts w:hint="default" w:ascii="Arial" w:hAnsi="Arial" w:eastAsia="Times New Roman" w:cs="Arial"/>
          <w:kern w:val="0"/>
          <w:sz w:val="24"/>
          <w:szCs w:val="24"/>
          <w:lang w:eastAsia="ru-RU"/>
          <w14:ligatures w14:val="none"/>
        </w:rPr>
        <w:t>23. В случае если договор купли-продажи не подписан лицами, указанными в пункте 19 настоящего Порядка, администрация вправе провести повторный аукцион, при этом начальная цена предмета повторного аукциона может быть определена ниже ранее установленной начальной цены предмета аукциона, но не более чем на сорок процентов от рыночной стоимости древесины.</w:t>
      </w:r>
    </w:p>
    <w:p w14:paraId="3C6D8318">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24. Информация об итогах аукциона размещается администрацией на официальных сайтах не позднее рабочего дня, следующего за днем подведения итогов аукциона.</w:t>
      </w:r>
    </w:p>
    <w:p w14:paraId="504AF819">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25. Администрация вправе отказаться от проведения аукциона в любое время, но не позднее чем за три дня до наступления даты его проведения, в случае поступления письменного согласия пользователя земельного участка на приобретение древесины. Извещение об отказе от проведения аукциона размещается на официальных сайтах не позднее пяти рабочих дней со дня поступления письменного уведомления пользователя земельного участка о приобретении древесины.</w:t>
      </w:r>
    </w:p>
    <w:p w14:paraId="671CC2C0">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bookmarkStart w:id="5" w:name="P72"/>
      <w:bookmarkEnd w:id="5"/>
      <w:r>
        <w:rPr>
          <w:rFonts w:hint="default" w:ascii="Arial" w:hAnsi="Arial" w:eastAsia="Times New Roman" w:cs="Arial"/>
          <w:kern w:val="0"/>
          <w:sz w:val="24"/>
          <w:szCs w:val="24"/>
          <w:lang w:eastAsia="ru-RU"/>
          <w14:ligatures w14:val="none"/>
        </w:rPr>
        <w:t>26. Древесина считается переданной администрацией и принятой покупателем древесины с момента ее полной оплаты по договору купли-продажи без оформления акта приема-передачи древесины.</w:t>
      </w:r>
    </w:p>
    <w:p w14:paraId="556840A0">
      <w:pPr>
        <w:widowControl w:val="0"/>
        <w:autoSpaceDE w:val="0"/>
        <w:autoSpaceDN w:val="0"/>
        <w:spacing w:after="0" w:line="240" w:lineRule="auto"/>
        <w:ind w:firstLine="540"/>
        <w:jc w:val="both"/>
        <w:rPr>
          <w:rFonts w:hint="default" w:ascii="Arial" w:hAnsi="Arial" w:eastAsia="Times New Roman" w:cs="Arial"/>
          <w:kern w:val="0"/>
          <w:sz w:val="24"/>
          <w:szCs w:val="24"/>
          <w:lang w:eastAsia="ru-RU"/>
          <w14:ligatures w14:val="none"/>
        </w:rPr>
      </w:pPr>
      <w:r>
        <w:rPr>
          <w:rFonts w:hint="default" w:ascii="Arial" w:hAnsi="Arial" w:eastAsia="Times New Roman" w:cs="Arial"/>
          <w:kern w:val="0"/>
          <w:sz w:val="24"/>
          <w:szCs w:val="24"/>
          <w:lang w:eastAsia="ru-RU"/>
          <w14:ligatures w14:val="none"/>
        </w:rPr>
        <w:t>27. При признании аукциона несостоявшимся по последней сниженной начальной цене процедура отчуждения имущества (древесины) признается несостоявшейся, после чего пользователь земельного участка самостоятельно осуществляет ее утилизацию посредством вывоза на полигон твердых бытовых отходов.</w:t>
      </w:r>
    </w:p>
    <w:p w14:paraId="1B842427">
      <w:pPr>
        <w:widowControl w:val="0"/>
        <w:autoSpaceDE w:val="0"/>
        <w:autoSpaceDN w:val="0"/>
        <w:spacing w:after="0" w:line="240" w:lineRule="auto"/>
        <w:jc w:val="both"/>
        <w:rPr>
          <w:rFonts w:hint="default" w:ascii="Arial" w:hAnsi="Arial" w:eastAsia="Times New Roman" w:cs="Arial"/>
          <w:kern w:val="0"/>
          <w:sz w:val="24"/>
          <w:szCs w:val="24"/>
          <w:lang w:eastAsia="ru-RU"/>
          <w14:ligatures w14:val="none"/>
        </w:rPr>
      </w:pPr>
    </w:p>
    <w:p w14:paraId="07397E92">
      <w:pPr>
        <w:spacing w:after="0" w:line="240" w:lineRule="auto"/>
        <w:rPr>
          <w:rFonts w:hint="default" w:ascii="Arial" w:hAnsi="Arial" w:cs="Arial"/>
          <w:sz w:val="24"/>
          <w:szCs w:val="24"/>
        </w:rPr>
      </w:pPr>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w:panose1 w:val="020B0604020202020204"/>
    <w:charset w:val="CC"/>
    <w:family w:val="swiss"/>
    <w:pitch w:val="default"/>
    <w:sig w:usb0="E0002EFF" w:usb1="C000785B" w:usb2="00000009" w:usb3="00000000" w:csb0="400001FF" w:csb1="FFFF0000"/>
  </w:font>
  <w:font w:name="Calibri Light">
    <w:panose1 w:val="020F0302020204030204"/>
    <w:charset w:val="00"/>
    <w:family w:val="auto"/>
    <w:pitch w:val="default"/>
    <w:sig w:usb0="E4002EFF" w:usb1="C000247B" w:usb2="00000009" w:usb3="00000000" w:csb0="200001FF"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52F"/>
    <w:rsid w:val="00241D9B"/>
    <w:rsid w:val="00496A76"/>
    <w:rsid w:val="00A50A57"/>
    <w:rsid w:val="00A7352F"/>
    <w:rsid w:val="00B90141"/>
    <w:rsid w:val="00D14189"/>
    <w:rsid w:val="00D330CA"/>
    <w:rsid w:val="00F00697"/>
    <w:rsid w:val="52C742A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ru-RU" w:eastAsia="en-US" w:bidi="ar-SA"/>
      <w14:ligatures w14:val="standardContextual"/>
    </w:rPr>
  </w:style>
  <w:style w:type="paragraph" w:styleId="2">
    <w:name w:val="heading 1"/>
    <w:basedOn w:val="1"/>
    <w:next w:val="1"/>
    <w:link w:val="15"/>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6"/>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7"/>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8"/>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19"/>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0"/>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1"/>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2"/>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3"/>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Title"/>
    <w:basedOn w:val="1"/>
    <w:next w:val="1"/>
    <w:link w:val="24"/>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14">
    <w:name w:val="Subtitle"/>
    <w:basedOn w:val="1"/>
    <w:next w:val="1"/>
    <w:link w:val="2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5">
    <w:name w:val="Заголовок 1 Знак"/>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6">
    <w:name w:val="Заголовок 2 Знак"/>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7">
    <w:name w:val="Заголовок 3 Знак"/>
    <w:basedOn w:val="11"/>
    <w:link w:val="4"/>
    <w:semiHidden/>
    <w:uiPriority w:val="9"/>
    <w:rPr>
      <w:rFonts w:eastAsiaTheme="majorEastAsia" w:cstheme="majorBidi"/>
      <w:color w:val="2F5597" w:themeColor="accent1" w:themeShade="BF"/>
      <w:sz w:val="28"/>
      <w:szCs w:val="28"/>
    </w:rPr>
  </w:style>
  <w:style w:type="character" w:customStyle="1" w:styleId="18">
    <w:name w:val="Заголовок 4 Знак"/>
    <w:basedOn w:val="11"/>
    <w:link w:val="5"/>
    <w:semiHidden/>
    <w:uiPriority w:val="9"/>
    <w:rPr>
      <w:rFonts w:eastAsiaTheme="majorEastAsia" w:cstheme="majorBidi"/>
      <w:i/>
      <w:iCs/>
      <w:color w:val="2F5597" w:themeColor="accent1" w:themeShade="BF"/>
    </w:rPr>
  </w:style>
  <w:style w:type="character" w:customStyle="1" w:styleId="19">
    <w:name w:val="Заголовок 5 Знак"/>
    <w:basedOn w:val="11"/>
    <w:link w:val="6"/>
    <w:semiHidden/>
    <w:uiPriority w:val="9"/>
    <w:rPr>
      <w:rFonts w:eastAsiaTheme="majorEastAsia" w:cstheme="majorBidi"/>
      <w:color w:val="2F5597" w:themeColor="accent1" w:themeShade="BF"/>
    </w:rPr>
  </w:style>
  <w:style w:type="character" w:customStyle="1" w:styleId="20">
    <w:name w:val="Заголовок 6 Знак"/>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Заголовок 7 Знак"/>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Заголовок 8 Знак"/>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Заголовок 9 Знак"/>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Заголовок Знак"/>
    <w:basedOn w:val="11"/>
    <w:link w:val="13"/>
    <w:qFormat/>
    <w:uiPriority w:val="10"/>
    <w:rPr>
      <w:rFonts w:asciiTheme="majorHAnsi" w:hAnsiTheme="majorHAnsi" w:eastAsiaTheme="majorEastAsia" w:cstheme="majorBidi"/>
      <w:spacing w:val="-10"/>
      <w:kern w:val="28"/>
      <w:sz w:val="56"/>
      <w:szCs w:val="56"/>
    </w:rPr>
  </w:style>
  <w:style w:type="character" w:customStyle="1" w:styleId="25">
    <w:name w:val="Подзаголовок Знак"/>
    <w:basedOn w:val="11"/>
    <w:link w:val="14"/>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7">
    <w:name w:val="Цитата 2 Знак"/>
    <w:basedOn w:val="11"/>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ind w:left="720"/>
      <w:contextualSpacing/>
    </w:pPr>
  </w:style>
  <w:style w:type="character" w:customStyle="1" w:styleId="29">
    <w:name w:val="Intense Emphasis"/>
    <w:basedOn w:val="11"/>
    <w:qFormat/>
    <w:uiPriority w:val="21"/>
    <w:rPr>
      <w:i/>
      <w:iCs/>
      <w:color w:val="2F5597" w:themeColor="accent1" w:themeShade="BF"/>
    </w:rPr>
  </w:style>
  <w:style w:type="paragraph" w:styleId="30">
    <w:name w:val="Intense Quote"/>
    <w:basedOn w:val="1"/>
    <w:next w:val="1"/>
    <w:link w:val="31"/>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1">
    <w:name w:val="Выделенная цитата Знак"/>
    <w:basedOn w:val="11"/>
    <w:link w:val="30"/>
    <w:qFormat/>
    <w:uiPriority w:val="30"/>
    <w:rPr>
      <w:i/>
      <w:iCs/>
      <w:color w:val="2F5597" w:themeColor="accent1" w:themeShade="BF"/>
    </w:rPr>
  </w:style>
  <w:style w:type="character" w:customStyle="1" w:styleId="32">
    <w:name w:val="Intense Reference"/>
    <w:basedOn w:val="11"/>
    <w:qFormat/>
    <w:uiPriority w:val="32"/>
    <w:rPr>
      <w:b/>
      <w:bCs/>
      <w:smallCaps/>
      <w:color w:val="2F5597" w:themeColor="accent1" w:themeShade="BF"/>
      <w:spacing w:val="5"/>
    </w:rPr>
  </w:style>
  <w:style w:type="paragraph" w:customStyle="1" w:styleId="33">
    <w:name w:val="ConsPlusCell"/>
    <w:qFormat/>
    <w:uiPriority w:val="6"/>
    <w:pPr>
      <w:widowControl/>
      <w:suppressAutoHyphens/>
      <w:autoSpaceDE w:val="0"/>
    </w:pPr>
    <w:rPr>
      <w:rFonts w:ascii="Arial" w:hAnsi="Arial" w:eastAsia="Times New Roman" w:cs="Arial"/>
      <w:color w:val="auto"/>
      <w:sz w:val="20"/>
      <w:szCs w:val="20"/>
      <w:lang w:val="ru-RU" w:eastAsia="ar-SA"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1349</Words>
  <Characters>9952</Characters>
  <Lines>84</Lines>
  <Paragraphs>23</Paragraphs>
  <TotalTime>6</TotalTime>
  <ScaleCrop>false</ScaleCrop>
  <LinksUpToDate>false</LinksUpToDate>
  <CharactersWithSpaces>11281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2026-07-30T05:30:00Z</dcterms:created>
  <dc:creator>Инна Мельниченко</dc:creator>
  <cp:lastModifiedBy>WPS_1777465400</cp:lastModifiedBy>
  <dcterms:modified xsi:type="dcterms:W3CDTF">2026-08-04T06:18:25Z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eyJoZGlkIjoiNzk5ZGY0NzZhYTEzNWQ3YjkyNWQ3Y2I3NTcxNWQ3MzYiLCJ1c2VySWQiOiI4MjQ2MzQ5MDAzNzcifQ==</vt:lpwstr>
  </property>
  <property fmtid="{D5CDD505-2E9C-101B-9397-08002B2CF9AE}" pid="3" name="KSOProductBuildVer">
    <vt:lpwstr>1049-12.1.0.28032</vt:lpwstr>
  </property>
  <property fmtid="{D5CDD505-2E9C-101B-9397-08002B2CF9AE}" pid="4" name="ICV">
    <vt:lpwstr>CFFE5DF12AC04201AB2D17FC6886AA2B_13</vt:lpwstr>
  </property>
</Properties>
</file>